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EC" w:rsidRPr="00837FFE" w:rsidRDefault="004A27A0" w:rsidP="00837FF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9004470"/>
      <w:r>
        <w:rPr>
          <w:lang w:val="el-GR"/>
        </w:rPr>
        <w:t>ΠΑΡΑΡΤΗΜΑ VIΙ – Υπόδειγμα Οικονομικής Προσφοράς</w:t>
      </w:r>
      <w:bookmarkEnd w:id="0"/>
    </w:p>
    <w:tbl>
      <w:tblPr>
        <w:tblW w:w="10773" w:type="dxa"/>
        <w:tblInd w:w="-1026" w:type="dxa"/>
        <w:tblLayout w:type="fixed"/>
        <w:tblLook w:val="04A0"/>
      </w:tblPr>
      <w:tblGrid>
        <w:gridCol w:w="10773"/>
      </w:tblGrid>
      <w:tr w:rsidR="00980D65" w:rsidRPr="008176EA" w:rsidTr="00980D65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459" w:rsidRPr="00767512" w:rsidRDefault="00256459" w:rsidP="00256459">
            <w:pPr>
              <w:autoSpaceDE w:val="0"/>
              <w:autoSpaceDN w:val="0"/>
              <w:adjustRightInd w:val="0"/>
              <w:jc w:val="both"/>
              <w:rPr>
                <w:rFonts w:cs="Tahoma"/>
                <w:sz w:val="4"/>
                <w:szCs w:val="4"/>
              </w:rPr>
            </w:pPr>
          </w:p>
          <w:p w:rsidR="00256459" w:rsidRPr="0047172D" w:rsidRDefault="00256459" w:rsidP="0047172D">
            <w:pPr>
              <w:tabs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ahoma"/>
                <w:i/>
              </w:rPr>
            </w:pPr>
            <w:r w:rsidRPr="0047172D">
              <w:rPr>
                <w:rFonts w:cs="Tahoma"/>
                <w:i/>
              </w:rPr>
              <w:t>[Απαραίτητα (</w:t>
            </w:r>
            <w:r w:rsidRPr="0047172D">
              <w:rPr>
                <w:i/>
                <w:u w:val="single"/>
              </w:rPr>
              <w:t>επί ποινή αποκλεισμού)</w:t>
            </w:r>
            <w:r w:rsidRPr="0047172D">
              <w:rPr>
                <w:rFonts w:cs="Tahoma"/>
                <w:i/>
              </w:rPr>
              <w:t xml:space="preserve"> η Οικονομική Προσφορά κατατίθεται επιπρόσθετα και με τη συμπλήρωση </w:t>
            </w:r>
            <w:r w:rsidR="008D04AB" w:rsidRPr="0047172D">
              <w:rPr>
                <w:rFonts w:cs="Tahoma"/>
                <w:i/>
              </w:rPr>
              <w:t>του</w:t>
            </w:r>
            <w:r w:rsidRPr="0047172D">
              <w:rPr>
                <w:rFonts w:cs="Tahoma"/>
                <w:i/>
              </w:rPr>
              <w:t xml:space="preserve"> παρακάτω  </w:t>
            </w:r>
            <w:r w:rsidR="008D04AB" w:rsidRPr="0047172D">
              <w:rPr>
                <w:rFonts w:cs="Tahoma"/>
                <w:i/>
              </w:rPr>
              <w:t>υποδείγματος</w:t>
            </w:r>
            <w:r w:rsidRPr="0047172D">
              <w:rPr>
                <w:rFonts w:cs="Tahoma"/>
                <w:i/>
              </w:rPr>
              <w:t>,</w:t>
            </w:r>
            <w:r w:rsidRPr="0047172D">
              <w:rPr>
                <w:rFonts w:cs="Tahoma"/>
                <w:b/>
                <w:i/>
              </w:rPr>
              <w:t xml:space="preserve"> </w:t>
            </w:r>
            <w:r w:rsidRPr="0047172D">
              <w:rPr>
                <w:rFonts w:cs="Tahoma"/>
                <w:i/>
              </w:rPr>
              <w:t>σύμφωνα με</w:t>
            </w:r>
            <w:r w:rsidR="00CC46C4">
              <w:rPr>
                <w:rFonts w:cs="Tahoma"/>
                <w:i/>
              </w:rPr>
              <w:t xml:space="preserve"> τις οδηγίες που παρέχονται στη </w:t>
            </w:r>
            <w:r w:rsidRPr="0047172D">
              <w:rPr>
                <w:rFonts w:cs="Tahoma"/>
                <w:i/>
              </w:rPr>
              <w:t>συνέχεια.</w:t>
            </w:r>
            <w:r w:rsidR="006D0BB9" w:rsidRPr="0047172D">
              <w:rPr>
                <w:rFonts w:cs="Tahoma"/>
                <w:i/>
              </w:rPr>
              <w:t xml:space="preserve"> </w:t>
            </w:r>
            <w:r w:rsidRPr="0047172D">
              <w:rPr>
                <w:rFonts w:cs="Tahoma"/>
                <w:i/>
              </w:rPr>
              <w:t xml:space="preserve">Σε περίπτωση διάστασης μεταξύ των εισαχθέντων και δηλωθέντων στο σύστημα στοιχείων και των </w:t>
            </w:r>
            <w:proofErr w:type="spellStart"/>
            <w:r w:rsidRPr="0047172D">
              <w:rPr>
                <w:rFonts w:cs="Tahoma"/>
                <w:i/>
              </w:rPr>
              <w:t>αποτυπωθέντων</w:t>
            </w:r>
            <w:proofErr w:type="spellEnd"/>
            <w:r w:rsidRPr="0047172D">
              <w:rPr>
                <w:rFonts w:cs="Tahoma"/>
                <w:i/>
              </w:rPr>
              <w:t xml:space="preserve"> στο </w:t>
            </w:r>
            <w:r w:rsidR="006D0BB9" w:rsidRPr="0047172D">
              <w:rPr>
                <w:rFonts w:cs="Tahoma"/>
                <w:i/>
              </w:rPr>
              <w:t>παρών έντυπο της Οικονομικής Π</w:t>
            </w:r>
            <w:r w:rsidRPr="0047172D">
              <w:rPr>
                <w:rFonts w:cs="Tahoma"/>
                <w:i/>
              </w:rPr>
              <w:t>ροσφοράς στοιχείων, κατισχύει η εντός του συστήματος δήλωση.</w:t>
            </w:r>
          </w:p>
          <w:p w:rsidR="00256459" w:rsidRPr="0047172D" w:rsidRDefault="0047172D" w:rsidP="0047172D">
            <w:pPr>
              <w:tabs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cs="TimesNewRomanPS-BoldMT"/>
                <w:bCs/>
                <w:i/>
              </w:rPr>
            </w:pPr>
            <w:r w:rsidRPr="0047172D">
              <w:rPr>
                <w:rFonts w:cs="TimesNewRomanPS-BoldMT"/>
                <w:bCs/>
                <w:i/>
              </w:rPr>
              <w:t>Οι υποψήφιοι ανάδοχοι</w:t>
            </w:r>
            <w:r w:rsidR="00256459" w:rsidRPr="0047172D">
              <w:rPr>
                <w:rFonts w:cs="TimesNewRomanPS-BoldMT"/>
                <w:bCs/>
                <w:i/>
              </w:rPr>
              <w:t xml:space="preserve"> </w:t>
            </w:r>
            <w:r w:rsidR="00256459" w:rsidRPr="0047172D">
              <w:rPr>
                <w:rFonts w:cs="TimesNewRomanPS-BoldMT"/>
                <w:bCs/>
                <w:i/>
                <w:u w:val="single"/>
              </w:rPr>
              <w:t>που θα προσφέρουν ποσοστό έκπτωσης</w:t>
            </w:r>
            <w:r w:rsidR="00256459" w:rsidRPr="0047172D">
              <w:rPr>
                <w:rFonts w:cs="TimesNewRomanPS-BoldMT"/>
                <w:bCs/>
                <w:i/>
              </w:rPr>
              <w:t xml:space="preserve">, </w:t>
            </w:r>
            <w:r w:rsidRPr="0047172D">
              <w:rPr>
                <w:rFonts w:cs="TimesNewRomanPS-BoldMT"/>
                <w:bCs/>
                <w:i/>
              </w:rPr>
              <w:t xml:space="preserve">οφείλουν να λάβουν υπόψη </w:t>
            </w:r>
            <w:r w:rsidR="00256459" w:rsidRPr="0047172D">
              <w:rPr>
                <w:rFonts w:cs="TimesNewRomanPS-BoldMT"/>
                <w:bCs/>
                <w:i/>
              </w:rPr>
              <w:t>τα κάτωθι:</w:t>
            </w:r>
          </w:p>
          <w:p w:rsidR="0047172D" w:rsidRPr="0047172D" w:rsidRDefault="00256459" w:rsidP="0047172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imesNewRomanPSMT"/>
                <w:i/>
              </w:rPr>
            </w:pPr>
            <w:r w:rsidRPr="0047172D">
              <w:rPr>
                <w:rFonts w:cs="Times New Roman"/>
                <w:bCs/>
                <w:i/>
              </w:rPr>
              <w:t>A.</w:t>
            </w:r>
            <w:r w:rsidRPr="0047172D">
              <w:rPr>
                <w:rFonts w:cs="Times New Roman"/>
                <w:b/>
                <w:bCs/>
                <w:i/>
              </w:rPr>
              <w:t xml:space="preserve"> </w:t>
            </w:r>
            <w:r w:rsidRPr="0047172D">
              <w:rPr>
                <w:rFonts w:cs="TimesNewRomanPSMT"/>
                <w:i/>
              </w:rPr>
              <w:t>Το έντυπο της οικονομικής προσφοράς πρέπει να αναγράφει τα στοιχεία του διαγωνιζόμενου και να</w:t>
            </w:r>
            <w:r w:rsidR="006D0BB9" w:rsidRPr="0047172D">
              <w:rPr>
                <w:rFonts w:cs="TimesNewRomanPSMT"/>
                <w:i/>
              </w:rPr>
              <w:t xml:space="preserve"> </w:t>
            </w:r>
            <w:r w:rsidRPr="0047172D">
              <w:rPr>
                <w:rFonts w:cs="TimesNewRomanPSMT"/>
                <w:i/>
              </w:rPr>
              <w:t>υπογράφεται ψηφιακά από:</w:t>
            </w:r>
            <w:r w:rsidR="0047172D" w:rsidRPr="0047172D">
              <w:rPr>
                <w:rFonts w:cs="TimesNewRomanPSMT"/>
                <w:i/>
              </w:rPr>
              <w:t xml:space="preserve"> </w:t>
            </w:r>
          </w:p>
          <w:p w:rsidR="00256459" w:rsidRPr="0047172D" w:rsidRDefault="00256459" w:rsidP="0047172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imesNewRomanPSMT"/>
                <w:i/>
              </w:rPr>
            </w:pPr>
            <w:r w:rsidRPr="0047172D">
              <w:rPr>
                <w:rFonts w:cs="TimesNewRomanPSMT"/>
                <w:i/>
              </w:rPr>
              <w:t>α) τον ίδιο τον προσφέροντα (σε περίπτωση φυσικού προσώπου),</w:t>
            </w:r>
          </w:p>
          <w:p w:rsidR="00256459" w:rsidRPr="0047172D" w:rsidRDefault="00256459" w:rsidP="0047172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imesNewRomanPSMT"/>
                <w:i/>
              </w:rPr>
            </w:pPr>
            <w:r w:rsidRPr="0047172D">
              <w:rPr>
                <w:rFonts w:cs="TimesNewRomanPSMT"/>
                <w:i/>
              </w:rPr>
              <w:t>β) το νόμιμο εκπρόσωπο του νομικού προσώπου και</w:t>
            </w:r>
          </w:p>
          <w:p w:rsidR="0047172D" w:rsidRPr="0047172D" w:rsidRDefault="00256459" w:rsidP="0047172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imesNewRomanPSMT"/>
                <w:i/>
              </w:rPr>
            </w:pPr>
            <w:r w:rsidRPr="0047172D">
              <w:rPr>
                <w:rFonts w:cs="TimesNewRomanPSMT"/>
                <w:i/>
              </w:rPr>
              <w:t>γ) σε περίπτωση ένωσης προμηθευτών, από τον ορισθέντα κοινό εκπρόσωπο.</w:t>
            </w:r>
          </w:p>
          <w:p w:rsidR="00C74BF5" w:rsidRPr="00C74BF5" w:rsidRDefault="00256459" w:rsidP="00C74BF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imesNewRomanPSMT"/>
                <w:i/>
              </w:rPr>
            </w:pPr>
            <w:r w:rsidRPr="0047172D">
              <w:rPr>
                <w:rFonts w:cs="TimesNewRomanPS-BoldMT"/>
                <w:bCs/>
                <w:i/>
              </w:rPr>
              <w:t>Β.</w:t>
            </w:r>
            <w:r w:rsidRPr="0047172D">
              <w:rPr>
                <w:rFonts w:cs="TimesNewRomanPS-BoldMT"/>
                <w:b/>
                <w:bCs/>
                <w:i/>
              </w:rPr>
              <w:t xml:space="preserve"> </w:t>
            </w:r>
            <w:r w:rsidR="00C74BF5" w:rsidRPr="00C74BF5">
              <w:rPr>
                <w:rFonts w:cs="TimesNewRomanPSMT"/>
                <w:i/>
              </w:rPr>
              <w:t xml:space="preserve">Ακολουθούν πίνακες στοιχείων </w:t>
            </w:r>
            <w:r w:rsidR="00C74BF5">
              <w:rPr>
                <w:rFonts w:cs="TimesNewRomanPSMT"/>
                <w:i/>
              </w:rPr>
              <w:t>Οικονομικής Π</w:t>
            </w:r>
            <w:r w:rsidR="00C74BF5" w:rsidRPr="00C74BF5">
              <w:rPr>
                <w:rFonts w:cs="TimesNewRomanPSMT"/>
                <w:i/>
              </w:rPr>
              <w:t>ροσφοράς</w:t>
            </w:r>
            <w:r w:rsidR="00E06343">
              <w:rPr>
                <w:rFonts w:cs="TimesNewRomanPSMT"/>
                <w:i/>
              </w:rPr>
              <w:t xml:space="preserve"> (με αναγραφόμενο ποσοστό έκπτωσης)</w:t>
            </w:r>
            <w:r w:rsidR="00C74BF5" w:rsidRPr="00C74BF5">
              <w:rPr>
                <w:rFonts w:cs="TimesNewRomanPSMT"/>
                <w:i/>
              </w:rPr>
              <w:t xml:space="preserve"> για κάθε τμήμα της παρούσας σύμβασης. Οι πίνακες αυτοί πρέπει να συμπληρωθούν υποχρεωτικά από τους συμμετέχοντες οικονομικούς φορείς για τα αντίστοιχα τμήματα στα οποία υποβάλουν προσφορά</w:t>
            </w:r>
            <w:r w:rsidR="002F2466">
              <w:rPr>
                <w:rFonts w:cs="TimesNewRomanPSMT"/>
                <w:i/>
              </w:rPr>
              <w:t xml:space="preserve"> και να είναι σύμφωνα </w:t>
            </w:r>
            <w:r w:rsidR="005D4C4E">
              <w:rPr>
                <w:rFonts w:cs="TimesNewRomanPSMT"/>
                <w:i/>
              </w:rPr>
              <w:t>με τον Ενδεικτικό Π</w:t>
            </w:r>
            <w:r w:rsidR="002F2466">
              <w:rPr>
                <w:rFonts w:cs="TimesNewRomanPSMT"/>
                <w:i/>
              </w:rPr>
              <w:t>ροϋπολογισμό</w:t>
            </w:r>
            <w:r w:rsidR="005D4C4E">
              <w:rPr>
                <w:rFonts w:cs="TimesNewRomanPSMT"/>
                <w:i/>
              </w:rPr>
              <w:t xml:space="preserve"> της μελέτης</w:t>
            </w:r>
            <w:r w:rsidR="00C74BF5" w:rsidRPr="00C74BF5">
              <w:rPr>
                <w:rFonts w:cs="TimesNewRomanPSMT"/>
                <w:i/>
              </w:rPr>
              <w:t xml:space="preserve">. </w:t>
            </w:r>
          </w:p>
          <w:p w:rsidR="00256459" w:rsidRPr="0047172D" w:rsidRDefault="00256459" w:rsidP="0047172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cs="TimesNewRomanPSMT"/>
                <w:i/>
                <w:u w:val="single"/>
              </w:rPr>
            </w:pPr>
            <w:r w:rsidRPr="0047172D">
              <w:rPr>
                <w:rFonts w:cs="Times New Roman"/>
                <w:i/>
                <w:u w:val="single"/>
              </w:rPr>
              <w:t xml:space="preserve">Το </w:t>
            </w:r>
            <w:r w:rsidRPr="0047172D">
              <w:rPr>
                <w:rFonts w:cs="TimesNewRomanPSMT"/>
                <w:i/>
                <w:u w:val="single"/>
              </w:rPr>
              <w:t>προσφερόμενο ποσοστό έκπτωσης επί τοις % είναι</w:t>
            </w:r>
            <w:r w:rsidR="00312102" w:rsidRPr="00312102">
              <w:rPr>
                <w:rFonts w:cs="TimesNewRomanPSMT"/>
                <w:i/>
                <w:u w:val="single"/>
              </w:rPr>
              <w:t xml:space="preserve"> δεσμευτικό για τον προμηθευτή</w:t>
            </w:r>
            <w:r w:rsidR="003F76C0">
              <w:rPr>
                <w:rFonts w:cs="TimesNewRomanPSMT"/>
                <w:i/>
                <w:u w:val="single"/>
              </w:rPr>
              <w:t xml:space="preserve">, θα παραμείνει </w:t>
            </w:r>
            <w:r w:rsidRPr="0047172D">
              <w:rPr>
                <w:rFonts w:cs="TimesNewRomanPSMT"/>
                <w:i/>
                <w:u w:val="single"/>
              </w:rPr>
              <w:t>σταθερό και αμ</w:t>
            </w:r>
            <w:r w:rsidR="006D0BB9" w:rsidRPr="0047172D">
              <w:rPr>
                <w:rFonts w:cs="TimesNewRomanPSMT"/>
                <w:i/>
                <w:u w:val="single"/>
              </w:rPr>
              <w:t xml:space="preserve">ετάβλητο σε όλη τη διάρκεια της </w:t>
            </w:r>
            <w:r w:rsidRPr="0047172D">
              <w:rPr>
                <w:rFonts w:cs="TimesNewRomanPSMT"/>
                <w:i/>
                <w:u w:val="single"/>
              </w:rPr>
              <w:t>σύμβασης και για κανένα λόγ</w:t>
            </w:r>
            <w:r w:rsidR="003F76C0">
              <w:rPr>
                <w:rFonts w:cs="TimesNewRomanPSMT"/>
                <w:i/>
                <w:u w:val="single"/>
              </w:rPr>
              <w:t xml:space="preserve">ο δεν υπόκεινται σε αναθεώρηση. </w:t>
            </w:r>
          </w:p>
          <w:p w:rsidR="00D239C2" w:rsidRPr="007D2059" w:rsidRDefault="00D239C2" w:rsidP="0076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6"/>
                <w:szCs w:val="6"/>
                <w:lang w:eastAsia="en-US"/>
              </w:rPr>
            </w:pPr>
          </w:p>
          <w:p w:rsidR="001E4B33" w:rsidRPr="007D2059" w:rsidRDefault="00053437" w:rsidP="007D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</w:pPr>
            <w:r w:rsidRPr="00053437"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  <w:t xml:space="preserve">ΕΝΤΥΠΟ ΟΙΚΟΝΟΜΙΚΗΣ ΠΡΟΣΦΟΡΑΣ </w:t>
            </w:r>
            <w:r w:rsidR="00D239C2" w:rsidRPr="00D239C2"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  <w:t>ΓΙΑ ΤΗΝ</w:t>
            </w:r>
          </w:p>
          <w:p w:rsidR="00D239C2" w:rsidRPr="00D239C2" w:rsidRDefault="00D239C2" w:rsidP="00D23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en-US"/>
              </w:rPr>
            </w:pPr>
          </w:p>
          <w:p w:rsidR="00150150" w:rsidRDefault="00D239C2" w:rsidP="0015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</w:pPr>
            <w:r w:rsidRPr="00150150"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  <w:t xml:space="preserve">Προμήθεια </w:t>
            </w:r>
            <w:r w:rsidR="00053437" w:rsidRPr="00150150"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  <w:t xml:space="preserve">υγρών καυσίμων του Δήμου </w:t>
            </w:r>
            <w:proofErr w:type="spellStart"/>
            <w:r w:rsidR="00053437" w:rsidRPr="00150150"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  <w:t>Μυλοποτάμου</w:t>
            </w:r>
            <w:proofErr w:type="spellEnd"/>
            <w:r w:rsidR="001E4B33"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150150" w:rsidRPr="00150150" w:rsidRDefault="00150150" w:rsidP="0015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US"/>
              </w:rPr>
            </w:pPr>
          </w:p>
          <w:p w:rsidR="00150150" w:rsidRPr="00053437" w:rsidRDefault="00150150" w:rsidP="00150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  <w:r w:rsidRPr="00150150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σ</w:t>
            </w:r>
            <w:r w:rsidRPr="0005343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το πλαίσιο διενέργειας Ανοικτού Ηλεκτρονικού</w:t>
            </w:r>
            <w:r w:rsidR="009720A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 xml:space="preserve"> Διαγωνισμού, σύμφωνα με τη με Αρ. </w:t>
            </w:r>
            <w:proofErr w:type="spellStart"/>
            <w:r w:rsidR="009720A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Π</w:t>
            </w:r>
            <w:r w:rsidRPr="0005343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ρωτ</w:t>
            </w:r>
            <w:proofErr w:type="spellEnd"/>
            <w:r w:rsidRPr="0005343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.</w:t>
            </w:r>
            <w:r w:rsidR="009720A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:</w:t>
            </w:r>
            <w:r w:rsidRPr="0005343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9720AD" w:rsidRPr="009720A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13186/15</w:t>
            </w:r>
            <w:r w:rsidR="00AB5074" w:rsidRPr="009720A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-10</w:t>
            </w:r>
            <w:r w:rsidRPr="009720A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-2024 Διακήρυξη και τις σχετικές ανακοινώσεις – δημοσιεύσεις.</w:t>
            </w:r>
            <w:r w:rsidRPr="0005343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C386F" w:rsidRDefault="00EC386F" w:rsidP="00EC38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  <w:p w:rsidR="00EC386F" w:rsidRDefault="00EC386F" w:rsidP="00D23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en-US"/>
              </w:rPr>
            </w:pPr>
            <w:r>
              <w:rPr>
                <w:rFonts w:eastAsia="Times New Roman" w:cstheme="minorHAnsi"/>
                <w:b/>
                <w:bCs/>
                <w:lang w:eastAsia="en-US"/>
              </w:rPr>
              <w:t>ΣΤΟΙΧΕΙΑ ΟΙΚΟΝΟΜΙΚΟΣ ΦΟΡΕΑΣ</w:t>
            </w:r>
          </w:p>
          <w:p w:rsidR="00EC386F" w:rsidRDefault="00EC386F" w:rsidP="00D23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en-US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88"/>
              <w:gridCol w:w="8954"/>
            </w:tblGrid>
            <w:tr w:rsidR="00EC386F" w:rsidTr="00EC386F">
              <w:tc>
                <w:tcPr>
                  <w:tcW w:w="1588" w:type="dxa"/>
                </w:tcPr>
                <w:p w:rsidR="00EC386F" w:rsidRPr="00EC386F" w:rsidRDefault="00EC386F" w:rsidP="00EC386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ΕΠΩΝΥΜΙΑ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8954" w:type="dxa"/>
                </w:tcPr>
                <w:p w:rsidR="00EC386F" w:rsidRDefault="00EC386F" w:rsidP="00D239C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eastAsia="en-US"/>
                    </w:rPr>
                  </w:pPr>
                </w:p>
              </w:tc>
            </w:tr>
            <w:tr w:rsidR="00EC386F" w:rsidTr="00EC386F">
              <w:tc>
                <w:tcPr>
                  <w:tcW w:w="1588" w:type="dxa"/>
                </w:tcPr>
                <w:p w:rsidR="00EC386F" w:rsidRPr="00EC386F" w:rsidRDefault="00EC386F" w:rsidP="00EC386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ΑΦΜ/ΔΟΥ : </w:t>
                  </w:r>
                </w:p>
              </w:tc>
              <w:tc>
                <w:tcPr>
                  <w:tcW w:w="8954" w:type="dxa"/>
                </w:tcPr>
                <w:p w:rsidR="00EC386F" w:rsidRDefault="00EC386F" w:rsidP="00D239C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eastAsia="en-US"/>
                    </w:rPr>
                  </w:pPr>
                </w:p>
              </w:tc>
            </w:tr>
            <w:tr w:rsidR="00EC386F" w:rsidTr="00EC386F">
              <w:tc>
                <w:tcPr>
                  <w:tcW w:w="1588" w:type="dxa"/>
                </w:tcPr>
                <w:p w:rsidR="00EC386F" w:rsidRPr="00EC386F" w:rsidRDefault="00EC386F" w:rsidP="00EC386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ΕΔΡΑ :</w:t>
                  </w:r>
                </w:p>
              </w:tc>
              <w:tc>
                <w:tcPr>
                  <w:tcW w:w="8954" w:type="dxa"/>
                </w:tcPr>
                <w:p w:rsidR="00EC386F" w:rsidRDefault="00EC386F" w:rsidP="00D239C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eastAsia="en-US"/>
                    </w:rPr>
                  </w:pPr>
                </w:p>
              </w:tc>
            </w:tr>
            <w:tr w:rsidR="00EC386F" w:rsidTr="00EC386F">
              <w:tc>
                <w:tcPr>
                  <w:tcW w:w="1588" w:type="dxa"/>
                </w:tcPr>
                <w:p w:rsidR="00EC386F" w:rsidRPr="00EC386F" w:rsidRDefault="00EC386F" w:rsidP="00EC386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E-</w:t>
                  </w:r>
                  <w:proofErr w:type="spellStart"/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:</w:t>
                  </w:r>
                </w:p>
              </w:tc>
              <w:tc>
                <w:tcPr>
                  <w:tcW w:w="8954" w:type="dxa"/>
                </w:tcPr>
                <w:p w:rsidR="00EC386F" w:rsidRDefault="00EC386F" w:rsidP="00D239C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eastAsia="en-US"/>
                    </w:rPr>
                  </w:pPr>
                </w:p>
              </w:tc>
            </w:tr>
            <w:tr w:rsidR="00EC386F" w:rsidTr="00EC386F">
              <w:tc>
                <w:tcPr>
                  <w:tcW w:w="1588" w:type="dxa"/>
                </w:tcPr>
                <w:p w:rsidR="00EC386F" w:rsidRPr="00EC386F" w:rsidRDefault="00EC386F" w:rsidP="00EC386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ΤΗΛΕΦΩΝΟ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C386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8954" w:type="dxa"/>
                </w:tcPr>
                <w:p w:rsidR="00EC386F" w:rsidRDefault="00EC386F" w:rsidP="00D239C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3D2A7A" w:rsidRPr="007D2059" w:rsidRDefault="003D2A7A" w:rsidP="0047172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  <w:p w:rsidR="00C17677" w:rsidRDefault="0047172D" w:rsidP="007035BB">
            <w:pPr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17677">
              <w:rPr>
                <w:rFonts w:ascii="Calibri" w:eastAsia="Times New Roman" w:hAnsi="Calibri" w:cs="Calibri"/>
                <w:color w:val="000000"/>
              </w:rPr>
              <w:t xml:space="preserve">Υποβάλλουμε την προσφορά μας για την ως άνω σύμβαση και δηλώνουμε ότι αναλαμβάνουμε την εκτέλεση </w:t>
            </w:r>
            <w:r w:rsidR="00D36E07" w:rsidRPr="00C17677">
              <w:rPr>
                <w:rFonts w:ascii="Calibri" w:eastAsia="Times New Roman" w:hAnsi="Calibri" w:cs="Calibri"/>
                <w:color w:val="000000"/>
              </w:rPr>
              <w:t xml:space="preserve">της. </w:t>
            </w:r>
          </w:p>
          <w:p w:rsidR="00C17677" w:rsidRDefault="00D36E07" w:rsidP="007035BB">
            <w:pPr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sz w:val="23"/>
                <w:szCs w:val="23"/>
              </w:rPr>
            </w:pPr>
            <w:r w:rsidRPr="00C17677">
              <w:rPr>
                <w:sz w:val="23"/>
                <w:szCs w:val="23"/>
              </w:rPr>
              <w:t xml:space="preserve">Το προσφερόμενο ποσοστό έκπτωσης θα παραμείνει σταθερό καθ’ όλη τη διάρκεια εκτέλεσης της Σύμβασης. </w:t>
            </w:r>
          </w:p>
          <w:p w:rsidR="003167FF" w:rsidRDefault="00D36E07" w:rsidP="007D2059">
            <w:pPr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cs="TimesNewRomanPS-BoldMT"/>
                <w:bCs/>
              </w:rPr>
            </w:pPr>
            <w:r w:rsidRPr="00C17677">
              <w:rPr>
                <w:sz w:val="23"/>
                <w:szCs w:val="23"/>
              </w:rPr>
              <w:t xml:space="preserve">Η έκπτωση </w:t>
            </w:r>
            <w:r w:rsidR="00C17677">
              <w:rPr>
                <w:sz w:val="23"/>
                <w:szCs w:val="23"/>
              </w:rPr>
              <w:t xml:space="preserve">που </w:t>
            </w:r>
            <w:r w:rsidRPr="00C17677">
              <w:rPr>
                <w:sz w:val="23"/>
                <w:szCs w:val="23"/>
              </w:rPr>
              <w:t xml:space="preserve">δίδεται ως ποσοστό επί τοις εκατό (%) </w:t>
            </w:r>
            <w:r w:rsidR="00C17677">
              <w:rPr>
                <w:sz w:val="23"/>
                <w:szCs w:val="23"/>
              </w:rPr>
              <w:t xml:space="preserve">θα ισχύει </w:t>
            </w:r>
            <w:r w:rsidRPr="00C17677">
              <w:rPr>
                <w:sz w:val="23"/>
                <w:szCs w:val="23"/>
              </w:rPr>
              <w:t xml:space="preserve">στη νόμιμα διαμορφούμενη </w:t>
            </w:r>
            <w:r w:rsidR="00C17677" w:rsidRPr="00C17677">
              <w:rPr>
                <w:rFonts w:cs="TimesNewRomanPS-BoldMT"/>
                <w:bCs/>
              </w:rPr>
              <w:t>επί των Μέσων Λιανικών Τιμών (Μ. Λ. Τ.), κατά την ημέρα παραδόσεως, βάσει του «Καθημερινού Δελτίου Επισκόπησης Τιμών Υγρών Καυσίμων», του Τμήματος Παρατηρητηρίων Τιμών/ της Γενικής Γραμματείας Εμπορίου και Προστασίας του Καταναλωτή του Υπουργείου Ανάπτυξης και Επενδύσεων για το Νομό Ρεθύμνου (</w:t>
            </w:r>
            <w:hyperlink r:id="rId6" w:history="1">
              <w:r w:rsidR="00C17677" w:rsidRPr="00C17677">
                <w:rPr>
                  <w:rStyle w:val="-"/>
                  <w:rFonts w:cs="TimesNewRomanPS-BoldMT"/>
                  <w:bCs/>
                  <w:u w:val="none"/>
                </w:rPr>
                <w:t>http://www.fuelprices.gr/</w:t>
              </w:r>
            </w:hyperlink>
            <w:r w:rsidR="00C17677" w:rsidRPr="00C17677">
              <w:rPr>
                <w:rFonts w:cs="TimesNewRomanPS-BoldMT"/>
                <w:bCs/>
              </w:rPr>
              <w:t xml:space="preserve">) . </w:t>
            </w:r>
            <w:r w:rsidR="00C17677">
              <w:rPr>
                <w:rFonts w:cs="TimesNewRomanPS-BoldMT"/>
                <w:bCs/>
              </w:rPr>
              <w:t>(</w:t>
            </w:r>
            <w:r w:rsidR="00C17677" w:rsidRPr="00C17677">
              <w:rPr>
                <w:rFonts w:cs="TimesNewRomanPS-BoldMT"/>
                <w:bCs/>
              </w:rPr>
              <w:t>Το ανωτέρω ποσοστό μπορεί να είναι και αρνητικό, χωρίς να υπερβαίνει το 5% σύμφωνα με το άρθρο 63 Ν.4257/2014</w:t>
            </w:r>
            <w:r w:rsidR="00C17677">
              <w:rPr>
                <w:rFonts w:cs="TimesNewRomanPS-BoldMT"/>
                <w:bCs/>
              </w:rPr>
              <w:t>)</w:t>
            </w:r>
            <w:r w:rsidR="00C17677" w:rsidRPr="00C17677">
              <w:rPr>
                <w:rFonts w:cs="TimesNewRomanPS-BoldMT"/>
                <w:bCs/>
              </w:rPr>
              <w:t>.</w:t>
            </w:r>
            <w:r w:rsidR="00C17677">
              <w:rPr>
                <w:rFonts w:cs="TimesNewRomanPS-BoldMT"/>
                <w:bCs/>
              </w:rPr>
              <w:t xml:space="preserve"> Στην παρούσα Οικονομική Προσφορά η έκπτωση διαμορφώνεται σύμφωνα με </w:t>
            </w:r>
            <w:r w:rsidR="00906405">
              <w:rPr>
                <w:rFonts w:cs="TimesNewRomanPS-BoldMT"/>
                <w:bCs/>
              </w:rPr>
              <w:t>τις τιμές αναφοράς σ</w:t>
            </w:r>
            <w:r w:rsidR="00C17677">
              <w:rPr>
                <w:rFonts w:cs="TimesNewRomanPS-BoldMT"/>
                <w:bCs/>
              </w:rPr>
              <w:t>τον Ενδεικτικό Προϋπολογισμό της Μελέτης.</w:t>
            </w:r>
            <w:r w:rsidR="00C17677" w:rsidRPr="00C17677">
              <w:rPr>
                <w:rFonts w:cs="TimesNewRomanPS-BoldMT"/>
                <w:bCs/>
              </w:rPr>
              <w:t xml:space="preserve"> </w:t>
            </w:r>
          </w:p>
          <w:p w:rsidR="003167FF" w:rsidRPr="00FD0C7D" w:rsidRDefault="003167FF" w:rsidP="003167FF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FD0C7D">
              <w:rPr>
                <w:b/>
              </w:rPr>
              <w:t>Ενδεικτικές Τιμές Αναφοράς :</w:t>
            </w:r>
          </w:p>
          <w:p w:rsidR="003167FF" w:rsidRPr="00FD0C7D" w:rsidRDefault="003167FF" w:rsidP="003167FF">
            <w:pPr>
              <w:autoSpaceDE w:val="0"/>
              <w:autoSpaceDN w:val="0"/>
              <w:adjustRightInd w:val="0"/>
              <w:spacing w:after="0"/>
            </w:pPr>
            <w:r w:rsidRPr="00FD0C7D">
              <w:t xml:space="preserve">Τιμή Πετρελαίου Θέρμανσης : </w:t>
            </w:r>
            <w:r w:rsidRPr="00FD0C7D">
              <w:rPr>
                <w:b/>
              </w:rPr>
              <w:t>1,415 €</w:t>
            </w:r>
          </w:p>
          <w:p w:rsidR="003167FF" w:rsidRPr="00FD0C7D" w:rsidRDefault="003167FF" w:rsidP="003167FF">
            <w:pPr>
              <w:autoSpaceDE w:val="0"/>
              <w:autoSpaceDN w:val="0"/>
              <w:adjustRightInd w:val="0"/>
              <w:spacing w:after="0"/>
            </w:pPr>
            <w:r w:rsidRPr="00FD0C7D">
              <w:t xml:space="preserve">Τιμή Πετρελαίου Κίνησης : </w:t>
            </w:r>
            <w:r w:rsidRPr="00FD0C7D">
              <w:rPr>
                <w:b/>
              </w:rPr>
              <w:t>1,595 €</w:t>
            </w:r>
          </w:p>
          <w:p w:rsidR="003167FF" w:rsidRPr="00FD0C7D" w:rsidRDefault="003167FF" w:rsidP="003167FF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FD0C7D">
              <w:t xml:space="preserve">Τιμή Αμόλυβδης (95 </w:t>
            </w:r>
            <w:proofErr w:type="spellStart"/>
            <w:r w:rsidRPr="00FD0C7D">
              <w:t>οκτ</w:t>
            </w:r>
            <w:proofErr w:type="spellEnd"/>
            <w:r w:rsidRPr="00FD0C7D">
              <w:t xml:space="preserve">.) : </w:t>
            </w:r>
            <w:r w:rsidRPr="00FD0C7D">
              <w:rPr>
                <w:b/>
              </w:rPr>
              <w:t>1,824 €</w:t>
            </w:r>
          </w:p>
          <w:p w:rsidR="003167FF" w:rsidRPr="003167FF" w:rsidRDefault="003167FF" w:rsidP="003167FF">
            <w:pPr>
              <w:autoSpaceDE w:val="0"/>
              <w:autoSpaceDN w:val="0"/>
              <w:adjustRightInd w:val="0"/>
              <w:spacing w:after="0"/>
              <w:rPr>
                <w:sz w:val="23"/>
                <w:szCs w:val="23"/>
              </w:rPr>
            </w:pPr>
          </w:p>
          <w:p w:rsidR="00191BD9" w:rsidRDefault="00191BD9" w:rsidP="00191BD9">
            <w:pPr>
              <w:ind w:right="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 xml:space="preserve">Για το Τμήμα 1 </w:t>
            </w:r>
            <w:r w:rsidR="00F338A2" w:rsidRPr="00D94839">
              <w:rPr>
                <w:rFonts w:cstheme="minorHAnsi"/>
              </w:rPr>
              <w:t>Πετρέλαιο Θέρμανσης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191BD9" w:rsidRDefault="00652C16" w:rsidP="00652C16">
            <w:pPr>
              <w:ind w:left="1310" w:right="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(ΟΛΟΓΡΑΦΩΣ): ……………………………………………………………………………………………………………………</w:t>
            </w:r>
            <w:r w:rsidR="005102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652C16" w:rsidRDefault="00652C16" w:rsidP="00652C16">
            <w:pPr>
              <w:ind w:left="1310" w:right="33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(ΑΡΙΘΜΗΤΙΚΑ): …………………………………………………………………………………………………………………….</w:t>
            </w:r>
          </w:p>
          <w:p w:rsidR="00191BD9" w:rsidRDefault="00191BD9" w:rsidP="00191BD9">
            <w:pPr>
              <w:ind w:right="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Για το Τμήμα 2</w:t>
            </w:r>
            <w:r w:rsidRPr="00191B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338A2" w:rsidRPr="00D94839">
              <w:rPr>
                <w:rFonts w:cstheme="minorHAnsi"/>
              </w:rPr>
              <w:t>Πετρέλαιο Κίνησης</w:t>
            </w:r>
          </w:p>
          <w:p w:rsidR="009C0661" w:rsidRDefault="009C0661" w:rsidP="009C0661">
            <w:pPr>
              <w:ind w:left="1310" w:right="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(ΟΛΟΓΡΑΦΩΣ): …………………………………………………………………………………………………………………….</w:t>
            </w:r>
          </w:p>
          <w:p w:rsidR="009C0661" w:rsidRPr="009C0661" w:rsidRDefault="009C0661" w:rsidP="009C0661">
            <w:pPr>
              <w:ind w:left="1310" w:right="33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(ΑΡΙΘΜΗΤΙΚΑ): …………………………………………………………………………………………………………………….</w:t>
            </w:r>
          </w:p>
          <w:p w:rsidR="00191BD9" w:rsidRDefault="00191BD9" w:rsidP="000740CB">
            <w:pPr>
              <w:ind w:left="1310" w:right="33" w:hanging="131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Για το Τμήμα 3</w:t>
            </w:r>
            <w:r w:rsidRPr="00191B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338A2" w:rsidRPr="00D94839">
              <w:rPr>
                <w:rFonts w:cstheme="minorHAnsi"/>
              </w:rPr>
              <w:t>Αμόλυβδη Βενζίνη</w:t>
            </w:r>
          </w:p>
          <w:p w:rsidR="009C0661" w:rsidRDefault="009C0661" w:rsidP="009C0661">
            <w:pPr>
              <w:ind w:left="1310" w:right="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(ΟΛΟΓΡΑΦΩΣ): …………………………………………………………………………………………………………………….</w:t>
            </w:r>
          </w:p>
          <w:p w:rsidR="009C0661" w:rsidRDefault="009C0661" w:rsidP="009C0661">
            <w:pPr>
              <w:ind w:left="1310" w:right="33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(ΑΡΙΘΜΗΤΙΚΑ): …………………………………………………………………………………………………………………….</w:t>
            </w:r>
          </w:p>
          <w:p w:rsidR="00191BD9" w:rsidRPr="00191BD9" w:rsidRDefault="00191BD9" w:rsidP="000E6959">
            <w:pPr>
              <w:ind w:left="1310" w:right="33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E211D9" w:rsidRDefault="00E211D9" w:rsidP="004A27A0"/>
    <w:p w:rsidR="003167FF" w:rsidRPr="007A12C3" w:rsidRDefault="003167FF" w:rsidP="004A27A0">
      <w:pPr>
        <w:rPr>
          <w:b/>
          <w:i/>
        </w:rPr>
      </w:pPr>
      <w:r w:rsidRPr="00E211D9">
        <w:rPr>
          <w:b/>
          <w:i/>
          <w:u w:val="single"/>
        </w:rPr>
        <w:t>ΣΥΝΟΠΤΙΚΑ ΠΡΟΣΦΟΡΕΣ ΥΠΟΒΑΛΛΟΝΤΑΙ ΓΙΑ ΤΑ ΚΑΤΩΘΙ ΤΜΗΜΑΤΑ</w:t>
      </w:r>
      <w:r>
        <w:rPr>
          <w:b/>
          <w:i/>
          <w:u w:val="single"/>
        </w:rPr>
        <w:t xml:space="preserve"> </w:t>
      </w:r>
      <w:r w:rsidRPr="00E211D9">
        <w:rPr>
          <w:b/>
          <w:i/>
        </w:rPr>
        <w:t>:</w:t>
      </w:r>
    </w:p>
    <w:tbl>
      <w:tblPr>
        <w:tblStyle w:val="a3"/>
        <w:tblW w:w="9791" w:type="dxa"/>
        <w:tblInd w:w="-318" w:type="dxa"/>
        <w:tblLook w:val="04A0"/>
      </w:tblPr>
      <w:tblGrid>
        <w:gridCol w:w="1135"/>
        <w:gridCol w:w="2693"/>
        <w:gridCol w:w="2127"/>
        <w:gridCol w:w="1701"/>
        <w:gridCol w:w="2135"/>
      </w:tblGrid>
      <w:tr w:rsidR="008C23AB" w:rsidRPr="007553E1" w:rsidTr="001E4B33">
        <w:trPr>
          <w:trHeight w:val="389"/>
        </w:trPr>
        <w:tc>
          <w:tcPr>
            <w:tcW w:w="1135" w:type="dxa"/>
            <w:shd w:val="clear" w:color="auto" w:fill="B6DDE8" w:themeFill="accent5" w:themeFillTint="66"/>
            <w:noWrap/>
            <w:vAlign w:val="bottom"/>
            <w:hideMark/>
          </w:tcPr>
          <w:p w:rsidR="008C23AB" w:rsidRPr="00B241B5" w:rsidRDefault="008C23AB" w:rsidP="002A4F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1B5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693" w:type="dxa"/>
            <w:shd w:val="clear" w:color="auto" w:fill="B6DDE8" w:themeFill="accent5" w:themeFillTint="66"/>
            <w:noWrap/>
            <w:vAlign w:val="bottom"/>
            <w:hideMark/>
          </w:tcPr>
          <w:p w:rsidR="008C23AB" w:rsidRPr="00B241B5" w:rsidRDefault="008C23AB" w:rsidP="002A4F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1B5">
              <w:rPr>
                <w:rFonts w:asciiTheme="minorHAnsi" w:hAnsiTheme="minorHAnsi" w:cstheme="minorHAnsi"/>
                <w:b/>
                <w:bCs/>
              </w:rPr>
              <w:t>ΠΕΡΙΓΡΑΦΗ</w:t>
            </w:r>
          </w:p>
        </w:tc>
        <w:tc>
          <w:tcPr>
            <w:tcW w:w="2127" w:type="dxa"/>
            <w:shd w:val="clear" w:color="auto" w:fill="B6DDE8" w:themeFill="accent5" w:themeFillTint="66"/>
            <w:noWrap/>
            <w:vAlign w:val="bottom"/>
            <w:hideMark/>
          </w:tcPr>
          <w:p w:rsidR="008C23AB" w:rsidRPr="00B241B5" w:rsidRDefault="00185DD3" w:rsidP="008278E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ΕΝΔΕΙΚΤΙΚΗ ΑΞΙΑ</w:t>
            </w:r>
            <w:r w:rsidR="009C06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r w:rsidR="009C06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(ΑΝΕΥ </w:t>
            </w:r>
            <w:r w:rsidR="009C0661" w:rsidRPr="009C06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Φ.Π.Α.)</w:t>
            </w:r>
          </w:p>
        </w:tc>
        <w:tc>
          <w:tcPr>
            <w:tcW w:w="1701" w:type="dxa"/>
            <w:shd w:val="clear" w:color="auto" w:fill="B6DDE8" w:themeFill="accent5" w:themeFillTint="66"/>
            <w:noWrap/>
            <w:vAlign w:val="bottom"/>
            <w:hideMark/>
          </w:tcPr>
          <w:p w:rsidR="008C23AB" w:rsidRPr="00B241B5" w:rsidRDefault="009C0661" w:rsidP="009C06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ΠΟΣΟΣΤΟ ΕΚΠΤΩΣΗΣ …… %</w:t>
            </w:r>
          </w:p>
        </w:tc>
        <w:tc>
          <w:tcPr>
            <w:tcW w:w="2135" w:type="dxa"/>
            <w:shd w:val="clear" w:color="auto" w:fill="B6DDE8" w:themeFill="accent5" w:themeFillTint="66"/>
            <w:noWrap/>
            <w:vAlign w:val="bottom"/>
            <w:hideMark/>
          </w:tcPr>
          <w:p w:rsidR="008C23AB" w:rsidRPr="00B241B5" w:rsidRDefault="009C0661" w:rsidP="002A4F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ΤΕΛΙΚΗ ΤΙΜΗ ΜΕΤΑ ΤΗΝ ΕΚΠΤΩΣΗ ΧΩΡΙΣ Φ.Π.Α</w:t>
            </w:r>
            <w:r w:rsidR="004E658A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3249B7" w:rsidRPr="007553E1" w:rsidTr="001E4B33">
        <w:trPr>
          <w:trHeight w:val="300"/>
        </w:trPr>
        <w:tc>
          <w:tcPr>
            <w:tcW w:w="1135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  <w:b/>
                <w:bCs/>
              </w:rPr>
            </w:pPr>
            <w:r w:rsidRPr="00B241B5">
              <w:rPr>
                <w:rFonts w:asciiTheme="minorHAnsi" w:hAnsiTheme="minorHAnsi" w:cstheme="minorHAnsi"/>
                <w:b/>
                <w:bCs/>
              </w:rPr>
              <w:t>ΤΜΗΜΑ 1</w:t>
            </w:r>
          </w:p>
        </w:tc>
        <w:tc>
          <w:tcPr>
            <w:tcW w:w="2693" w:type="dxa"/>
            <w:vAlign w:val="bottom"/>
            <w:hideMark/>
          </w:tcPr>
          <w:p w:rsidR="003249B7" w:rsidRPr="00417297" w:rsidRDefault="003249B7" w:rsidP="00CA734D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94839">
              <w:rPr>
                <w:rFonts w:asciiTheme="minorHAnsi" w:hAnsiTheme="minorHAnsi" w:cstheme="minorHAnsi"/>
                <w:sz w:val="22"/>
                <w:szCs w:val="22"/>
              </w:rPr>
              <w:t>Πετρέλαιο Θέρμανσης</w:t>
            </w:r>
          </w:p>
        </w:tc>
        <w:tc>
          <w:tcPr>
            <w:tcW w:w="2127" w:type="dxa"/>
            <w:noWrap/>
            <w:vAlign w:val="bottom"/>
            <w:hideMark/>
          </w:tcPr>
          <w:p w:rsidR="003249B7" w:rsidRPr="003249B7" w:rsidRDefault="003249B7" w:rsidP="001E4B33">
            <w:pPr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9B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51.612,90 </w:t>
            </w:r>
            <w:r w:rsidRPr="003249B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701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</w:rPr>
            </w:pPr>
          </w:p>
        </w:tc>
      </w:tr>
      <w:tr w:rsidR="003249B7" w:rsidRPr="007553E1" w:rsidTr="001E4B33">
        <w:trPr>
          <w:trHeight w:val="345"/>
        </w:trPr>
        <w:tc>
          <w:tcPr>
            <w:tcW w:w="1135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  <w:b/>
                <w:bCs/>
              </w:rPr>
            </w:pPr>
            <w:r w:rsidRPr="00B241B5">
              <w:rPr>
                <w:rFonts w:asciiTheme="minorHAnsi" w:hAnsiTheme="minorHAnsi" w:cstheme="minorHAnsi"/>
                <w:b/>
                <w:bCs/>
              </w:rPr>
              <w:t>ΤΜΗΜΑ 2</w:t>
            </w:r>
          </w:p>
        </w:tc>
        <w:tc>
          <w:tcPr>
            <w:tcW w:w="2693" w:type="dxa"/>
            <w:vAlign w:val="bottom"/>
            <w:hideMark/>
          </w:tcPr>
          <w:p w:rsidR="003249B7" w:rsidRPr="00417297" w:rsidRDefault="003249B7" w:rsidP="00CA734D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94839">
              <w:rPr>
                <w:rFonts w:asciiTheme="minorHAnsi" w:hAnsiTheme="minorHAnsi" w:cstheme="minorHAnsi"/>
                <w:sz w:val="22"/>
                <w:szCs w:val="22"/>
              </w:rPr>
              <w:t>Πετρέλαιο Κίνησης</w:t>
            </w:r>
          </w:p>
        </w:tc>
        <w:tc>
          <w:tcPr>
            <w:tcW w:w="2127" w:type="dxa"/>
            <w:noWrap/>
            <w:vAlign w:val="bottom"/>
            <w:hideMark/>
          </w:tcPr>
          <w:p w:rsidR="003249B7" w:rsidRPr="003249B7" w:rsidRDefault="00871310" w:rsidP="001E4B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142.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US"/>
              </w:rPr>
              <w:t>258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US"/>
              </w:rPr>
              <w:t>0</w:t>
            </w:r>
            <w:r w:rsidR="003249B7" w:rsidRPr="003249B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7 </w:t>
            </w:r>
            <w:r w:rsidR="003249B7" w:rsidRPr="003249B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701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</w:rPr>
            </w:pPr>
          </w:p>
        </w:tc>
      </w:tr>
      <w:tr w:rsidR="003249B7" w:rsidRPr="007553E1" w:rsidTr="001E4B33">
        <w:trPr>
          <w:trHeight w:val="600"/>
        </w:trPr>
        <w:tc>
          <w:tcPr>
            <w:tcW w:w="1135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  <w:b/>
                <w:bCs/>
              </w:rPr>
            </w:pPr>
            <w:r w:rsidRPr="00B241B5">
              <w:rPr>
                <w:rFonts w:asciiTheme="minorHAnsi" w:hAnsiTheme="minorHAnsi" w:cstheme="minorHAnsi"/>
                <w:b/>
                <w:bCs/>
              </w:rPr>
              <w:t>ΤΜΗΜΑ 3</w:t>
            </w:r>
          </w:p>
        </w:tc>
        <w:tc>
          <w:tcPr>
            <w:tcW w:w="2693" w:type="dxa"/>
            <w:vAlign w:val="bottom"/>
            <w:hideMark/>
          </w:tcPr>
          <w:p w:rsidR="003249B7" w:rsidRPr="00417297" w:rsidRDefault="003249B7" w:rsidP="00CA734D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94839">
              <w:rPr>
                <w:rFonts w:asciiTheme="minorHAnsi" w:hAnsiTheme="minorHAnsi" w:cstheme="minorHAnsi"/>
                <w:sz w:val="22"/>
                <w:szCs w:val="22"/>
              </w:rPr>
              <w:t>Αμόλυβδη Βενζίνη</w:t>
            </w:r>
          </w:p>
        </w:tc>
        <w:tc>
          <w:tcPr>
            <w:tcW w:w="2127" w:type="dxa"/>
            <w:noWrap/>
            <w:vAlign w:val="bottom"/>
            <w:hideMark/>
          </w:tcPr>
          <w:p w:rsidR="003249B7" w:rsidRPr="003249B7" w:rsidRDefault="00CD6297" w:rsidP="001E4B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.</w:t>
            </w:r>
            <w:r w:rsidR="003249B7" w:rsidRPr="003249B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US"/>
              </w:rPr>
              <w:t>96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en-US"/>
              </w:rPr>
              <w:t>7</w:t>
            </w:r>
            <w:r w:rsidR="003249B7" w:rsidRPr="003249B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7 </w:t>
            </w:r>
            <w:r w:rsidR="003249B7" w:rsidRPr="003249B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701" w:type="dxa"/>
            <w:noWrap/>
            <w:vAlign w:val="bottom"/>
            <w:hideMark/>
          </w:tcPr>
          <w:p w:rsidR="003249B7" w:rsidRPr="00B241B5" w:rsidRDefault="003249B7" w:rsidP="002A4FEC">
            <w:pPr>
              <w:ind w:left="1134" w:hanging="1134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3249B7" w:rsidRPr="00B241B5" w:rsidRDefault="003249B7" w:rsidP="008C23AB">
            <w:pPr>
              <w:rPr>
                <w:rFonts w:asciiTheme="minorHAnsi" w:hAnsiTheme="minorHAnsi" w:cstheme="minorHAnsi"/>
              </w:rPr>
            </w:pPr>
          </w:p>
        </w:tc>
      </w:tr>
      <w:tr w:rsidR="003249B7" w:rsidRPr="007553E1" w:rsidTr="001E4B33">
        <w:trPr>
          <w:trHeight w:val="300"/>
        </w:trPr>
        <w:tc>
          <w:tcPr>
            <w:tcW w:w="3828" w:type="dxa"/>
            <w:gridSpan w:val="2"/>
            <w:noWrap/>
            <w:vAlign w:val="bottom"/>
            <w:hideMark/>
          </w:tcPr>
          <w:p w:rsidR="003249B7" w:rsidRPr="00B241B5" w:rsidRDefault="003249B7" w:rsidP="008C23AB">
            <w:pPr>
              <w:ind w:left="34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ΣΥΝΟΛΟ : </w:t>
            </w:r>
          </w:p>
        </w:tc>
        <w:tc>
          <w:tcPr>
            <w:tcW w:w="2127" w:type="dxa"/>
            <w:noWrap/>
            <w:vAlign w:val="bottom"/>
            <w:hideMark/>
          </w:tcPr>
          <w:p w:rsidR="003249B7" w:rsidRPr="00CA4803" w:rsidRDefault="003249B7" w:rsidP="001E4B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803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220.967,74 €</w:t>
            </w:r>
          </w:p>
        </w:tc>
        <w:tc>
          <w:tcPr>
            <w:tcW w:w="1701" w:type="dxa"/>
            <w:noWrap/>
            <w:vAlign w:val="bottom"/>
            <w:hideMark/>
          </w:tcPr>
          <w:p w:rsidR="003249B7" w:rsidRPr="00650BD9" w:rsidRDefault="003249B7" w:rsidP="008C23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3249B7" w:rsidRPr="00650BD9" w:rsidRDefault="003249B7" w:rsidP="002A4FEC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</w:tbl>
    <w:p w:rsidR="005574ED" w:rsidRPr="003167FF" w:rsidRDefault="005574ED" w:rsidP="004A27A0">
      <w:pPr>
        <w:rPr>
          <w:sz w:val="6"/>
          <w:szCs w:val="6"/>
        </w:rPr>
      </w:pPr>
    </w:p>
    <w:p w:rsidR="0014175B" w:rsidRDefault="0014175B" w:rsidP="004A27A0">
      <w:r>
        <w:t>Το Φ.Π.Α. 24% δεν περιλαμβάνεται.</w:t>
      </w:r>
    </w:p>
    <w:p w:rsidR="00053437" w:rsidRDefault="007806F9" w:rsidP="00053437">
      <w:pPr>
        <w:rPr>
          <w:u w:val="single"/>
        </w:rPr>
      </w:pPr>
      <w:r w:rsidRPr="007806F9">
        <w:rPr>
          <w:u w:val="single"/>
        </w:rPr>
        <w:t>Χρόνος ισχύος Προσφοράς</w:t>
      </w:r>
      <w:r w:rsidR="007035BB">
        <w:rPr>
          <w:u w:val="single"/>
        </w:rPr>
        <w:t xml:space="preserve"> </w:t>
      </w:r>
      <w:r w:rsidRPr="007D2059">
        <w:t>:</w:t>
      </w:r>
    </w:p>
    <w:p w:rsidR="003167FF" w:rsidRDefault="003167FF" w:rsidP="00053437">
      <w:pPr>
        <w:rPr>
          <w:u w:val="single"/>
        </w:rPr>
      </w:pPr>
    </w:p>
    <w:p w:rsidR="003167FF" w:rsidRDefault="003167FF" w:rsidP="00053437">
      <w:pPr>
        <w:rPr>
          <w:u w:val="single"/>
        </w:rPr>
      </w:pPr>
    </w:p>
    <w:p w:rsidR="007A12C3" w:rsidRDefault="007A12C3" w:rsidP="00053437">
      <w:pPr>
        <w:rPr>
          <w:u w:val="single"/>
        </w:rPr>
      </w:pPr>
    </w:p>
    <w:p w:rsidR="007A12C3" w:rsidRPr="003167FF" w:rsidRDefault="007A12C3" w:rsidP="00053437">
      <w:pPr>
        <w:rPr>
          <w:u w:val="single"/>
        </w:rPr>
      </w:pPr>
    </w:p>
    <w:tbl>
      <w:tblPr>
        <w:tblpPr w:leftFromText="180" w:rightFromText="180" w:vertAnchor="text" w:horzAnchor="margin" w:tblpXSpec="right" w:tblpY="39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5"/>
      </w:tblGrid>
      <w:tr w:rsidR="007806F9" w:rsidTr="007806F9">
        <w:trPr>
          <w:trHeight w:val="120"/>
        </w:trPr>
        <w:tc>
          <w:tcPr>
            <w:tcW w:w="3155" w:type="dxa"/>
          </w:tcPr>
          <w:p w:rsidR="007806F9" w:rsidRDefault="007806F9" w:rsidP="007806F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…………….………. …./…./ 2024 </w:t>
            </w:r>
          </w:p>
        </w:tc>
      </w:tr>
      <w:tr w:rsidR="007806F9" w:rsidTr="007806F9">
        <w:trPr>
          <w:trHeight w:val="279"/>
        </w:trPr>
        <w:tc>
          <w:tcPr>
            <w:tcW w:w="3155" w:type="dxa"/>
          </w:tcPr>
          <w:p w:rsidR="007806F9" w:rsidRDefault="007806F9" w:rsidP="007806F9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7806F9" w:rsidRDefault="007806F9" w:rsidP="007806F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 Προσφέρων </w:t>
            </w:r>
          </w:p>
        </w:tc>
      </w:tr>
    </w:tbl>
    <w:p w:rsidR="005574ED" w:rsidRPr="00D36E07" w:rsidRDefault="005574ED" w:rsidP="00D36E07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5574ED" w:rsidRPr="00D36E07" w:rsidSect="0027645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E76"/>
    <w:multiLevelType w:val="hybridMultilevel"/>
    <w:tmpl w:val="3F724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8CC"/>
    <w:multiLevelType w:val="hybridMultilevel"/>
    <w:tmpl w:val="EC7E4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956"/>
    <w:multiLevelType w:val="hybridMultilevel"/>
    <w:tmpl w:val="B9F6A064"/>
    <w:lvl w:ilvl="0" w:tplc="BD52A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75D4"/>
    <w:multiLevelType w:val="hybridMultilevel"/>
    <w:tmpl w:val="52FA9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52A1"/>
    <w:multiLevelType w:val="hybridMultilevel"/>
    <w:tmpl w:val="794A6C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1EE5"/>
    <w:multiLevelType w:val="hybridMultilevel"/>
    <w:tmpl w:val="FDAEA47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27831"/>
    <w:multiLevelType w:val="hybridMultilevel"/>
    <w:tmpl w:val="BEF66B54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4790F"/>
    <w:multiLevelType w:val="hybridMultilevel"/>
    <w:tmpl w:val="1D2C62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483021"/>
    <w:multiLevelType w:val="hybridMultilevel"/>
    <w:tmpl w:val="1536FA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AF2596"/>
    <w:multiLevelType w:val="hybridMultilevel"/>
    <w:tmpl w:val="60E46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B289D"/>
    <w:multiLevelType w:val="hybridMultilevel"/>
    <w:tmpl w:val="C060C202"/>
    <w:lvl w:ilvl="0" w:tplc="68BEA950">
      <w:start w:val="1"/>
      <w:numFmt w:val="decimal"/>
      <w:lvlText w:val="%1."/>
      <w:lvlJc w:val="left"/>
      <w:pPr>
        <w:ind w:left="580" w:hanging="1980"/>
      </w:pPr>
      <w:rPr>
        <w:rFonts w:hint="default"/>
        <w:b/>
        <w:spacing w:val="-7"/>
        <w:w w:val="99"/>
      </w:rPr>
    </w:lvl>
    <w:lvl w:ilvl="1" w:tplc="E95609B0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54C3FF0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3CC836AA">
      <w:numFmt w:val="bullet"/>
      <w:lvlText w:val="•"/>
      <w:lvlJc w:val="left"/>
      <w:pPr>
        <w:ind w:left="3113" w:hanging="360"/>
      </w:pPr>
      <w:rPr>
        <w:rFonts w:hint="default"/>
      </w:rPr>
    </w:lvl>
    <w:lvl w:ilvl="4" w:tplc="5EE25AA2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8A34628E"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42785800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CB0F55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99AC734">
      <w:numFmt w:val="bullet"/>
      <w:lvlText w:val="•"/>
      <w:lvlJc w:val="left"/>
      <w:pPr>
        <w:ind w:left="7146" w:hanging="360"/>
      </w:pPr>
      <w:rPr>
        <w:rFonts w:hint="default"/>
      </w:rPr>
    </w:lvl>
  </w:abstractNum>
  <w:abstractNum w:abstractNumId="11">
    <w:nsid w:val="5A4846CB"/>
    <w:multiLevelType w:val="hybridMultilevel"/>
    <w:tmpl w:val="523E88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34980"/>
    <w:multiLevelType w:val="hybridMultilevel"/>
    <w:tmpl w:val="C414D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C640C"/>
    <w:multiLevelType w:val="hybridMultilevel"/>
    <w:tmpl w:val="D1FE94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E1103"/>
    <w:multiLevelType w:val="hybridMultilevel"/>
    <w:tmpl w:val="BEF66B54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4A111E"/>
    <w:multiLevelType w:val="hybridMultilevel"/>
    <w:tmpl w:val="CC6CE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5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characterSpacingControl w:val="doNotCompress"/>
  <w:compat>
    <w:useFELayout/>
  </w:compat>
  <w:rsids>
    <w:rsidRoot w:val="00A1344E"/>
    <w:rsid w:val="00053437"/>
    <w:rsid w:val="00070A64"/>
    <w:rsid w:val="000740CB"/>
    <w:rsid w:val="000827E8"/>
    <w:rsid w:val="000C41ED"/>
    <w:rsid w:val="000E6959"/>
    <w:rsid w:val="000F6818"/>
    <w:rsid w:val="00126E7E"/>
    <w:rsid w:val="0014175B"/>
    <w:rsid w:val="00144469"/>
    <w:rsid w:val="00150150"/>
    <w:rsid w:val="00163EDA"/>
    <w:rsid w:val="00165578"/>
    <w:rsid w:val="00172216"/>
    <w:rsid w:val="00185DD3"/>
    <w:rsid w:val="00191BD9"/>
    <w:rsid w:val="001A3D78"/>
    <w:rsid w:val="001B0030"/>
    <w:rsid w:val="001E4B33"/>
    <w:rsid w:val="00231F35"/>
    <w:rsid w:val="00232AC7"/>
    <w:rsid w:val="002346B4"/>
    <w:rsid w:val="00256459"/>
    <w:rsid w:val="00260BD8"/>
    <w:rsid w:val="002713B4"/>
    <w:rsid w:val="00276450"/>
    <w:rsid w:val="002A4FEC"/>
    <w:rsid w:val="002B48DB"/>
    <w:rsid w:val="002B6A16"/>
    <w:rsid w:val="002B6FE1"/>
    <w:rsid w:val="002F2466"/>
    <w:rsid w:val="00312102"/>
    <w:rsid w:val="003167FF"/>
    <w:rsid w:val="00320469"/>
    <w:rsid w:val="003233A0"/>
    <w:rsid w:val="003249B7"/>
    <w:rsid w:val="00342ECD"/>
    <w:rsid w:val="00350CB7"/>
    <w:rsid w:val="0035372C"/>
    <w:rsid w:val="003624B9"/>
    <w:rsid w:val="003A602B"/>
    <w:rsid w:val="003D2A7A"/>
    <w:rsid w:val="003F302D"/>
    <w:rsid w:val="003F76C0"/>
    <w:rsid w:val="00453F29"/>
    <w:rsid w:val="004615D3"/>
    <w:rsid w:val="0047172D"/>
    <w:rsid w:val="004768C9"/>
    <w:rsid w:val="00494135"/>
    <w:rsid w:val="0049770C"/>
    <w:rsid w:val="004A27A0"/>
    <w:rsid w:val="004D7E27"/>
    <w:rsid w:val="004E3401"/>
    <w:rsid w:val="004E5C2F"/>
    <w:rsid w:val="004E658A"/>
    <w:rsid w:val="00510280"/>
    <w:rsid w:val="00535650"/>
    <w:rsid w:val="005376C3"/>
    <w:rsid w:val="005574ED"/>
    <w:rsid w:val="00562BAF"/>
    <w:rsid w:val="0057139D"/>
    <w:rsid w:val="005771CD"/>
    <w:rsid w:val="00577DAA"/>
    <w:rsid w:val="005C7699"/>
    <w:rsid w:val="005D4C4E"/>
    <w:rsid w:val="005D7437"/>
    <w:rsid w:val="005F26B9"/>
    <w:rsid w:val="00611AD5"/>
    <w:rsid w:val="0062748A"/>
    <w:rsid w:val="0063730C"/>
    <w:rsid w:val="00652C16"/>
    <w:rsid w:val="006801E9"/>
    <w:rsid w:val="006B5036"/>
    <w:rsid w:val="006C39FD"/>
    <w:rsid w:val="006C6E53"/>
    <w:rsid w:val="006D0BB9"/>
    <w:rsid w:val="006D0E5A"/>
    <w:rsid w:val="006F1E60"/>
    <w:rsid w:val="006F4CBA"/>
    <w:rsid w:val="007035BB"/>
    <w:rsid w:val="00720059"/>
    <w:rsid w:val="0072392D"/>
    <w:rsid w:val="00742B4E"/>
    <w:rsid w:val="0074465E"/>
    <w:rsid w:val="00767512"/>
    <w:rsid w:val="007806F9"/>
    <w:rsid w:val="00780E92"/>
    <w:rsid w:val="00782D60"/>
    <w:rsid w:val="00790168"/>
    <w:rsid w:val="007A12C3"/>
    <w:rsid w:val="007A5DB5"/>
    <w:rsid w:val="007D2059"/>
    <w:rsid w:val="007D40E4"/>
    <w:rsid w:val="007F2ACD"/>
    <w:rsid w:val="008238D1"/>
    <w:rsid w:val="008278EB"/>
    <w:rsid w:val="00830686"/>
    <w:rsid w:val="00837FFE"/>
    <w:rsid w:val="0085737D"/>
    <w:rsid w:val="00857E55"/>
    <w:rsid w:val="0086667E"/>
    <w:rsid w:val="00871310"/>
    <w:rsid w:val="008823BD"/>
    <w:rsid w:val="008842DF"/>
    <w:rsid w:val="0089782B"/>
    <w:rsid w:val="008A2F44"/>
    <w:rsid w:val="008A6F0C"/>
    <w:rsid w:val="008B272D"/>
    <w:rsid w:val="008C23AB"/>
    <w:rsid w:val="008C5A2E"/>
    <w:rsid w:val="008D04AB"/>
    <w:rsid w:val="008D1116"/>
    <w:rsid w:val="00906405"/>
    <w:rsid w:val="00906A9C"/>
    <w:rsid w:val="00920B0F"/>
    <w:rsid w:val="00920B6E"/>
    <w:rsid w:val="00930A38"/>
    <w:rsid w:val="0094392C"/>
    <w:rsid w:val="00944FE9"/>
    <w:rsid w:val="009713EC"/>
    <w:rsid w:val="009720AD"/>
    <w:rsid w:val="00980D65"/>
    <w:rsid w:val="00991247"/>
    <w:rsid w:val="009C0661"/>
    <w:rsid w:val="009E230E"/>
    <w:rsid w:val="00A05287"/>
    <w:rsid w:val="00A055DF"/>
    <w:rsid w:val="00A11531"/>
    <w:rsid w:val="00A1344E"/>
    <w:rsid w:val="00A16B4C"/>
    <w:rsid w:val="00A16D9A"/>
    <w:rsid w:val="00A23584"/>
    <w:rsid w:val="00A24B61"/>
    <w:rsid w:val="00A3203D"/>
    <w:rsid w:val="00A41A0D"/>
    <w:rsid w:val="00A938EB"/>
    <w:rsid w:val="00AA467E"/>
    <w:rsid w:val="00AB2E39"/>
    <w:rsid w:val="00AB5074"/>
    <w:rsid w:val="00AC2449"/>
    <w:rsid w:val="00AF658F"/>
    <w:rsid w:val="00B1774F"/>
    <w:rsid w:val="00B26885"/>
    <w:rsid w:val="00B37BDA"/>
    <w:rsid w:val="00B958AC"/>
    <w:rsid w:val="00BD1D17"/>
    <w:rsid w:val="00C005B5"/>
    <w:rsid w:val="00C031FF"/>
    <w:rsid w:val="00C17677"/>
    <w:rsid w:val="00C26745"/>
    <w:rsid w:val="00C328D7"/>
    <w:rsid w:val="00C42A84"/>
    <w:rsid w:val="00C47545"/>
    <w:rsid w:val="00C5732D"/>
    <w:rsid w:val="00C74BF5"/>
    <w:rsid w:val="00CA4803"/>
    <w:rsid w:val="00CA6BA3"/>
    <w:rsid w:val="00CB12E3"/>
    <w:rsid w:val="00CB27C0"/>
    <w:rsid w:val="00CB2A38"/>
    <w:rsid w:val="00CC46C4"/>
    <w:rsid w:val="00CD6297"/>
    <w:rsid w:val="00CE108F"/>
    <w:rsid w:val="00CE15B0"/>
    <w:rsid w:val="00CE418A"/>
    <w:rsid w:val="00CE4A59"/>
    <w:rsid w:val="00CF1A43"/>
    <w:rsid w:val="00D11B8A"/>
    <w:rsid w:val="00D239C2"/>
    <w:rsid w:val="00D345D2"/>
    <w:rsid w:val="00D36E07"/>
    <w:rsid w:val="00D558EF"/>
    <w:rsid w:val="00D60546"/>
    <w:rsid w:val="00D618C4"/>
    <w:rsid w:val="00D72038"/>
    <w:rsid w:val="00D94692"/>
    <w:rsid w:val="00D9618A"/>
    <w:rsid w:val="00D96487"/>
    <w:rsid w:val="00DA69D2"/>
    <w:rsid w:val="00DB151D"/>
    <w:rsid w:val="00DB2263"/>
    <w:rsid w:val="00DC18CE"/>
    <w:rsid w:val="00DC51EE"/>
    <w:rsid w:val="00DD0467"/>
    <w:rsid w:val="00E06343"/>
    <w:rsid w:val="00E105F8"/>
    <w:rsid w:val="00E211D9"/>
    <w:rsid w:val="00E3061D"/>
    <w:rsid w:val="00E94D75"/>
    <w:rsid w:val="00E95C7E"/>
    <w:rsid w:val="00E95EBC"/>
    <w:rsid w:val="00EC386F"/>
    <w:rsid w:val="00ED60BC"/>
    <w:rsid w:val="00ED799D"/>
    <w:rsid w:val="00EE28B3"/>
    <w:rsid w:val="00EF5623"/>
    <w:rsid w:val="00F019C6"/>
    <w:rsid w:val="00F24A5E"/>
    <w:rsid w:val="00F338A2"/>
    <w:rsid w:val="00F43FE7"/>
    <w:rsid w:val="00F61838"/>
    <w:rsid w:val="00F64BA5"/>
    <w:rsid w:val="00F71A85"/>
    <w:rsid w:val="00F91880"/>
    <w:rsid w:val="00FA669E"/>
    <w:rsid w:val="00FA6CBE"/>
    <w:rsid w:val="00FD0C7D"/>
    <w:rsid w:val="00FE1947"/>
    <w:rsid w:val="00F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63"/>
  </w:style>
  <w:style w:type="paragraph" w:styleId="1">
    <w:name w:val="heading 1"/>
    <w:basedOn w:val="a"/>
    <w:next w:val="a"/>
    <w:link w:val="1Char"/>
    <w:uiPriority w:val="9"/>
    <w:qFormat/>
    <w:rsid w:val="004A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4A27A0"/>
    <w:pPr>
      <w:keepNext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A27A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4A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EF5623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4"/>
    <w:rsid w:val="00EF5623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List Paragraph"/>
    <w:basedOn w:val="a"/>
    <w:uiPriority w:val="99"/>
    <w:qFormat/>
    <w:rsid w:val="00EF5623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Heading1">
    <w:name w:val="Heading 1"/>
    <w:basedOn w:val="a"/>
    <w:uiPriority w:val="1"/>
    <w:qFormat/>
    <w:rsid w:val="00EF5623"/>
    <w:pPr>
      <w:widowControl w:val="0"/>
      <w:autoSpaceDE w:val="0"/>
      <w:autoSpaceDN w:val="0"/>
      <w:spacing w:after="0" w:line="240" w:lineRule="auto"/>
      <w:ind w:left="580"/>
      <w:outlineLvl w:val="1"/>
    </w:pPr>
    <w:rPr>
      <w:rFonts w:ascii="Palatino Linotype" w:eastAsia="Palatino Linotype" w:hAnsi="Palatino Linotype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F5623"/>
    <w:pPr>
      <w:widowControl w:val="0"/>
      <w:autoSpaceDE w:val="0"/>
      <w:autoSpaceDN w:val="0"/>
      <w:spacing w:after="0" w:line="304" w:lineRule="exact"/>
      <w:ind w:left="109"/>
    </w:pPr>
    <w:rPr>
      <w:rFonts w:ascii="Palatino Linotype" w:eastAsia="Palatino Linotype" w:hAnsi="Palatino Linotype" w:cs="Times New Roman"/>
      <w:lang w:val="en-US" w:eastAsia="en-US"/>
    </w:rPr>
  </w:style>
  <w:style w:type="character" w:styleId="-">
    <w:name w:val="Hyperlink"/>
    <w:basedOn w:val="a0"/>
    <w:uiPriority w:val="99"/>
    <w:unhideWhenUsed/>
    <w:rsid w:val="00EF562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F5623"/>
    <w:rPr>
      <w:color w:val="800080"/>
      <w:u w:val="single"/>
    </w:rPr>
  </w:style>
  <w:style w:type="paragraph" w:customStyle="1" w:styleId="font5">
    <w:name w:val="font5"/>
    <w:basedOn w:val="a"/>
    <w:rsid w:val="00EF562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3">
    <w:name w:val="xl63"/>
    <w:basedOn w:val="a"/>
    <w:rsid w:val="00EF56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56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F5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F5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F56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F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F5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F5623"/>
  </w:style>
  <w:style w:type="paragraph" w:styleId="a7">
    <w:name w:val="footer"/>
    <w:basedOn w:val="a"/>
    <w:link w:val="Char1"/>
    <w:uiPriority w:val="99"/>
    <w:unhideWhenUsed/>
    <w:rsid w:val="00EF5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F5623"/>
  </w:style>
  <w:style w:type="paragraph" w:customStyle="1" w:styleId="Default">
    <w:name w:val="Default"/>
    <w:rsid w:val="00557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elprice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A801-B784-40B6-B0AB-965D948B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ΜΑΝΙΑΔΗ</dc:creator>
  <cp:keywords/>
  <dc:description/>
  <cp:lastModifiedBy>ΜΑΝΙΑΔΗ</cp:lastModifiedBy>
  <cp:revision>208</cp:revision>
  <dcterms:created xsi:type="dcterms:W3CDTF">2024-06-21T10:30:00Z</dcterms:created>
  <dcterms:modified xsi:type="dcterms:W3CDTF">2024-10-15T10:38:00Z</dcterms:modified>
</cp:coreProperties>
</file>